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snapToGrid/>
        <w:spacing w:line="560" w:lineRule="exact"/>
        <w:ind w:firstLineChars="200" w:firstLine="640"/>
        <w:jc w:val="left"/>
        <w:rPr>
          <w:rFonts w:ascii="黑体" w:eastAsia="黑体" w:cs="黑体" w:hAnsi="黑体" w:hint="eastAsia"/>
          <w:b w:val="0"/>
          <w:bCs w:val="0"/>
          <w:sz w:val="32"/>
          <w:szCs w:val="32"/>
          <w:lang w:val="en-US" w:eastAsia="zh-CN"/>
        </w:rPr>
      </w:pPr>
      <w:bookmarkStart w:id="0" w:name="_Toc12263"/>
      <w:r>
        <w:rPr>
          <w:rFonts w:ascii="黑体" w:eastAsia="黑体" w:cs="黑体" w:hAnsi="黑体" w:hint="eastAsia"/>
          <w:b w:val="0"/>
          <w:bCs w:val="0"/>
          <w:sz w:val="32"/>
          <w:szCs w:val="32"/>
          <w:lang w:val="en-US" w:eastAsia="zh-CN"/>
        </w:rPr>
        <w:t>一、资产包情况</w:t>
      </w:r>
      <w:bookmarkEnd w:id="0"/>
    </w:p>
    <w:p>
      <w:pPr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bookmarkStart w:id="1" w:name="_Toc16889"/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本次拟公开转让的单户债权系我公司于2024年6月27日商业化收购甘肃银行2024年第二季度不良债权资产包（河东包）内一户。该资产包交易基准日为2024年5月28日，涉及36户债权资产，债权本息合计32964.42万元，其中本金为26570.7万元,利息6393.71万元，入账成本值5261万元。截止转让方案拟定日，该资产包已处置终结7户，整包累计回现2483.5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snapToGrid/>
        <w:spacing w:line="560" w:lineRule="exact"/>
        <w:ind w:firstLineChars="200" w:firstLine="640"/>
        <w:jc w:val="left"/>
        <w:rPr>
          <w:rFonts w:ascii="黑体" w:eastAsia="黑体" w:cs="黑体" w:hAnsi="黑体" w:hint="eastAsia"/>
          <w:b w:val="0"/>
          <w:bCs w:val="0"/>
          <w:sz w:val="32"/>
          <w:szCs w:val="32"/>
          <w:lang w:val="en-US" w:eastAsia="zh-CN"/>
        </w:rPr>
      </w:pPr>
      <w:r>
        <w:rPr>
          <w:rFonts w:ascii="黑体" w:eastAsia="黑体" w:cs="黑体" w:hAnsi="黑体" w:hint="eastAsia"/>
          <w:b w:val="0"/>
          <w:bCs w:val="0"/>
          <w:sz w:val="32"/>
          <w:szCs w:val="32"/>
          <w:lang w:val="en-US" w:eastAsia="zh-CN"/>
        </w:rPr>
        <w:t>二、债权情况介绍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Chars="200" w:firstLine="640"/>
        <w:rPr>
          <w:rFonts w:ascii="楷体" w:eastAsia="楷体" w:cs="楷体" w:hAnsi="楷体" w:hint="eastAsia"/>
          <w:b/>
          <w:bCs/>
          <w:color w:val="auto"/>
          <w:sz w:val="32"/>
          <w:szCs w:val="32"/>
          <w:lang w:val="en-US" w:eastAsia="zh-CN"/>
        </w:rPr>
      </w:pPr>
      <w:bookmarkStart w:id="2" w:name="_Toc5762"/>
      <w:r>
        <w:rPr>
          <w:rFonts w:ascii="楷体" w:eastAsia="楷体" w:cs="楷体" w:hAnsi="楷体" w:hint="eastAsia"/>
          <w:b/>
          <w:bCs/>
          <w:color w:val="auto"/>
          <w:sz w:val="32"/>
          <w:szCs w:val="32"/>
          <w:lang w:val="en-US" w:eastAsia="zh-CN"/>
        </w:rPr>
        <w:t>1.债务人基本情况</w:t>
      </w:r>
      <w:bookmarkEnd w:id="2"/>
    </w:p>
    <w:p>
      <w:pPr>
        <w:ind w:left="0" w:firstLineChars="200" w:firstLine="640"/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庆阳陇牛乳业有限公司成立于2010年12月，法定代表人白永恒，注册资本5000万元。</w:t>
      </w: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GB" w:eastAsia="zh-CN" w:bidi="ar-SA"/>
          <w:highlight w:val="none"/>
        </w:rPr>
        <w:t>经营范围：乳制品[液体乳(巴氏杀菌乳、调制乳、灭菌乳、发酵乳)]、饮料（蛋白饮料类、果汁及蔬菜汁类）收购、生产</w:t>
      </w: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及</w:t>
      </w: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GB" w:eastAsia="zh-CN" w:bidi="ar-SA"/>
          <w:highlight w:val="none"/>
        </w:rPr>
        <w:t>销售。</w:t>
      </w: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工商登记状态为存续，目前处于经营困难。</w:t>
      </w:r>
    </w:p>
    <w:p>
      <w:pPr>
        <w:ind w:left="0" w:firstLineChars="200" w:firstLine="640"/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经查询，借款人作为被告的涉诉信息8条，被执行信息2条。</w:t>
      </w:r>
      <w:bookmarkStart w:id="3" w:name="_Toc228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Chars="200" w:firstLine="640"/>
        <w:rPr>
          <w:rFonts w:ascii="楷体" w:eastAsia="楷体" w:cs="楷体" w:hAnsi="楷体"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ascii="楷体" w:eastAsia="楷体" w:cs="楷体" w:hAnsi="楷体" w:hint="eastAsia"/>
          <w:b/>
          <w:bCs/>
          <w:color w:val="auto"/>
          <w:sz w:val="32"/>
          <w:szCs w:val="32"/>
          <w:lang w:val="en-US" w:eastAsia="zh-CN"/>
        </w:rPr>
        <w:t>2.债权情况分析</w:t>
      </w:r>
      <w:bookmarkEnd w:id="3"/>
    </w:p>
    <w:tbl>
      <w:tblPr>
        <w:jc w:val="center"/>
        <w:tblW w:w="5184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680"/>
        <w:gridCol w:w="1635"/>
        <w:gridCol w:w="1515"/>
        <w:gridCol w:w="1575"/>
        <w:gridCol w:w="671"/>
        <w:gridCol w:w="1394"/>
        <w:gridCol w:w="1136"/>
      </w:tblGrid>
      <w:tr>
        <w:trPr>
          <w:trHeight w:val="315"/>
        </w:trPr>
        <w:tc>
          <w:tcPr>
            <w:tcW w:w="158" w:type="dxa"/>
            <w:vMerge w:val="restart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序号</w:t>
            </w:r>
          </w:p>
        </w:tc>
        <w:tc>
          <w:tcPr>
            <w:tcW w:w="380" w:type="dxa"/>
            <w:vMerge w:val="restart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主合同</w:t>
            </w:r>
          </w:p>
        </w:tc>
        <w:tc>
          <w:tcPr>
            <w:tcW w:w="718" w:type="dxa"/>
            <w:gridSpan w:val="2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截至交易基准日余额(元)</w:t>
            </w:r>
          </w:p>
        </w:tc>
        <w:tc>
          <w:tcPr>
            <w:tcW w:w="156" w:type="dxa"/>
            <w:vMerge w:val="restart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担保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方式</w:t>
            </w:r>
          </w:p>
        </w:tc>
        <w:tc>
          <w:tcPr>
            <w:tcW w:w="324" w:type="dxa"/>
            <w:vMerge w:val="restart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抵</w:t>
            </w: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en-US" w:eastAsia="zh-CN"/>
              </w:rPr>
              <w:t>/质</w:t>
            </w: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押物</w:t>
            </w:r>
          </w:p>
        </w:tc>
        <w:tc>
          <w:tcPr>
            <w:tcW w:w="264" w:type="dxa"/>
            <w:vMerge w:val="restart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保证人</w:t>
            </w:r>
          </w:p>
        </w:tc>
      </w:tr>
      <w:tr>
        <w:trPr>
          <w:trHeight w:val="285"/>
        </w:trPr>
        <w:tc>
          <w:tcPr>
            <w:tcW w:w="158" w:type="dxa"/>
            <w:vMerge/>
            <w:tcBorders>
              <w:tl2br w:val="nil"/>
              <w:tr2bl w:val="nil"/>
            </w:tcBorders>
            <w:shd w:val="clear" w:color="000000" w:fill="FFFFFF"/>
            <w:vAlign w:val="center"/>
          </w:tcPr>
          <w:p/>
        </w:tc>
        <w:tc>
          <w:tcPr>
            <w:tcW w:w="380" w:type="dxa"/>
            <w:vMerge/>
            <w:tcBorders>
              <w:tl2br w:val="nil"/>
              <w:tr2bl w:val="nil"/>
            </w:tcBorders>
            <w:shd w:val="clear" w:color="000000" w:fill="FFFFFF"/>
            <w:vAlign w:val="center"/>
          </w:tcPr>
          <w:p/>
        </w:tc>
        <w:tc>
          <w:tcPr>
            <w:tcW w:w="352" w:type="dxa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</w:rPr>
              <w:t>本金</w:t>
            </w:r>
          </w:p>
        </w:tc>
        <w:tc>
          <w:tcPr>
            <w:tcW w:w="364" w:type="dxa"/>
            <w:tcBorders>
              <w:tl2br w:val="nil"/>
              <w:tr2bl w:val="nil"/>
            </w:tcBorders>
            <w:shd w:val="clear" w:color="auto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bCs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/>
                <w:highlight w:val="none"/>
              </w:rPr>
              <w:t>利息</w:t>
            </w:r>
          </w:p>
        </w:tc>
        <w:tc>
          <w:tcPr>
            <w:tcW w:w="156" w:type="dxa"/>
            <w:vMerge/>
            <w:tcBorders>
              <w:tl2br w:val="nil"/>
              <w:tr2bl w:val="nil"/>
            </w:tcBorders>
            <w:shd w:val="clear" w:color="auto" w:fill="D8D8D8"/>
            <w:vAlign w:val="center"/>
          </w:tcPr>
          <w:p/>
        </w:tc>
        <w:tc>
          <w:tcPr>
            <w:tcW w:w="324" w:type="dxa"/>
            <w:vMerge/>
            <w:tcBorders>
              <w:tl2br w:val="nil"/>
              <w:tr2bl w:val="nil"/>
            </w:tcBorders>
            <w:shd w:val="clear" w:color="000000" w:fill="FFFFFF"/>
          </w:tcPr>
          <w:p/>
        </w:tc>
        <w:tc>
          <w:tcPr>
            <w:tcW w:w="264" w:type="dxa"/>
            <w:vMerge/>
            <w:tcBorders>
              <w:tl2br w:val="nil"/>
              <w:tr2bl w:val="nil"/>
            </w:tcBorders>
            <w:shd w:val="clear" w:color="000000" w:fill="FFFFFF"/>
            <w:vAlign w:val="center"/>
          </w:tcPr>
          <w:p/>
        </w:tc>
      </w:tr>
      <w:tr>
        <w:trPr>
          <w:trHeight w:val="5806"/>
        </w:trPr>
        <w:tc>
          <w:tcPr>
            <w:tcW w:w="15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sz w:val="21"/>
                <w:szCs w:val="21"/>
                <w:lang w:val="zh-CN"/>
              </w:rPr>
              <w:t>1</w:t>
            </w:r>
          </w:p>
        </w:tc>
        <w:tc>
          <w:tcPr>
            <w:tcW w:w="38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  <w:lang w:val="zh-CN" w:eastAsia="zh-CN"/>
              </w:rPr>
            </w:pPr>
            <w:r>
              <w:rPr>
                <w:rFonts w:ascii="仿宋" w:eastAsia="仿宋" w:cs="仿宋" w:hAnsi="仿宋" w:hint="eastAsia"/>
                <w:sz w:val="21"/>
                <w:szCs w:val="21"/>
                <w:lang w:val="zh-CN" w:eastAsia="zh-CN"/>
              </w:rPr>
              <w:t>20201029000089《流动资金借款合同》、20211228000171《补充/变更合同》、20201029000089-2、20211228000171-1《补充/变更合同》</w:t>
            </w:r>
          </w:p>
        </w:tc>
        <w:tc>
          <w:tcPr>
            <w:tcW w:w="352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sz w:val="21"/>
                <w:szCs w:val="21"/>
                <w:lang w:val="en-US" w:eastAsia="zh-CN"/>
              </w:rPr>
              <w:t xml:space="preserve">11,700,000.00 </w:t>
            </w:r>
          </w:p>
        </w:tc>
        <w:tc>
          <w:tcPr>
            <w:tcW w:w="36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 w:hint="eastAsia"/>
                <w:sz w:val="21"/>
                <w:szCs w:val="21"/>
                <w:lang w:val="zh-CN" w:eastAsia="zh-CN"/>
              </w:rPr>
            </w:pPr>
            <w:r>
              <w:rPr>
                <w:rFonts w:ascii="仿宋" w:eastAsia="仿宋" w:cs="仿宋" w:hAnsi="仿宋" w:hint="eastAsia"/>
                <w:sz w:val="21"/>
                <w:szCs w:val="21"/>
                <w:lang w:val="zh-CN" w:eastAsia="zh-CN"/>
              </w:rPr>
              <w:t xml:space="preserve">5746428.87 </w:t>
            </w:r>
          </w:p>
        </w:tc>
        <w:tc>
          <w:tcPr>
            <w:tcW w:w="15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cs="仿宋" w:hAnsi="仿宋" w:hint="eastAsia"/>
                <w:sz w:val="21"/>
                <w:szCs w:val="21"/>
                <w:lang w:val="en-US" w:eastAsia="zh-CN"/>
              </w:rPr>
              <w:t>抵押+质押+</w:t>
            </w:r>
            <w:r>
              <w:rPr>
                <w:rFonts w:ascii="仿宋" w:eastAsia="仿宋" w:cs="仿宋" w:hAnsi="仿宋" w:hint="eastAsia"/>
                <w:sz w:val="21"/>
                <w:szCs w:val="21"/>
                <w:lang w:val="zh-CN"/>
              </w:rPr>
              <w:t>保证</w:t>
            </w:r>
          </w:p>
        </w:tc>
        <w:tc>
          <w:tcPr>
            <w:tcW w:w="32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 w:hint="eastAsia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en-US" w:eastAsia="zh-CN"/>
              </w:rPr>
              <w:t>抵押：</w:t>
            </w:r>
            <w:r>
              <w:rPr>
                <w:rFonts w:ascii="仿宋" w:eastAsia="仿宋" w:cs="仿宋" w:hAnsi="仿宋" w:hint="eastAsia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ascii="仿宋" w:eastAsia="仿宋" w:cs="仿宋" w:hAnsi="仿宋" w:hint="eastAsia"/>
                <w:sz w:val="21"/>
                <w:szCs w:val="21"/>
                <w:lang w:val="en-US" w:eastAsia="zh-CN"/>
              </w:rPr>
              <w:t xml:space="preserve">运通草业公司名下位于宁县米桥镇米桥村的480头奶牛；2.陇牛乳业公司名下22套生产机器设备。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en-US" w:eastAsia="zh-CN"/>
              </w:rPr>
              <w:t>质押：</w:t>
            </w:r>
            <w:r>
              <w:rPr>
                <w:rFonts w:ascii="仿宋" w:eastAsia="仿宋" w:cs="仿宋" w:hAnsi="仿宋" w:hint="eastAsia"/>
                <w:sz w:val="21"/>
                <w:szCs w:val="21"/>
                <w:lang w:val="en-US" w:eastAsia="zh-CN"/>
              </w:rPr>
              <w:t>1.白永恒、运通草业公司共计持有陇牛乳业公司100%的股权；2.陇牛乳业公司名下质押财产价值16640744.92元的应收账款。</w:t>
            </w:r>
          </w:p>
        </w:tc>
        <w:tc>
          <w:tcPr>
            <w:tcW w:w="26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  <w:lang w:val="zh-CN" w:eastAsia="zh-CN"/>
              </w:rPr>
            </w:pPr>
            <w:r>
              <w:rPr>
                <w:rFonts w:ascii="仿宋" w:eastAsia="仿宋" w:cs="仿宋" w:hAnsi="仿宋" w:hint="eastAsia"/>
                <w:sz w:val="21"/>
                <w:szCs w:val="21"/>
                <w:lang w:val="en-US" w:eastAsia="zh-CN"/>
              </w:rPr>
              <w:t>陇牛乳业、</w:t>
            </w:r>
            <w:r>
              <w:rPr>
                <w:rFonts w:ascii="仿宋" w:eastAsia="仿宋" w:cs="仿宋" w:hAnsi="仿宋"/>
                <w:sz w:val="21"/>
                <w:szCs w:val="21"/>
                <w:lang w:val="zh-CN" w:eastAsia="zh-CN"/>
              </w:rPr>
              <w:t>运通草业公司</w:t>
            </w:r>
            <w:r>
              <w:rPr>
                <w:rFonts w:ascii="仿宋" w:eastAsia="仿宋" w:cs="仿宋" w:hAnsi="仿宋" w:hint="eastAsia"/>
                <w:sz w:val="21"/>
                <w:szCs w:val="21"/>
                <w:lang w:val="zh-CN" w:eastAsia="zh-CN"/>
              </w:rPr>
              <w:t>、</w:t>
            </w:r>
            <w:r>
              <w:rPr>
                <w:rFonts w:ascii="仿宋" w:eastAsia="仿宋" w:cs="仿宋" w:hAnsi="仿宋"/>
                <w:sz w:val="21"/>
                <w:szCs w:val="21"/>
                <w:lang w:val="zh-CN" w:eastAsia="zh-CN"/>
              </w:rPr>
              <w:t>白永恒、王华宁</w:t>
            </w:r>
          </w:p>
        </w:tc>
      </w:tr>
      <w:tr>
        <w:trPr>
          <w:trHeight w:val="137"/>
        </w:trPr>
        <w:tc>
          <w:tcPr>
            <w:tcW w:w="15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sz w:val="21"/>
                <w:szCs w:val="21"/>
              </w:rPr>
            </w:pPr>
            <w:r>
              <w:rPr>
                <w:rFonts w:ascii="仿宋" w:eastAsia="仿宋" w:cs="仿宋" w:hAnsi="仿宋" w:hint="eastAsia"/>
                <w:b/>
                <w:sz w:val="21"/>
                <w:szCs w:val="21"/>
              </w:rPr>
              <w:t>合计</w:t>
            </w:r>
          </w:p>
        </w:tc>
        <w:tc>
          <w:tcPr>
            <w:tcW w:w="380" w:type="dxa"/>
            <w:tcBorders>
              <w:tl2br w:val="nil"/>
              <w:tr2bl w:val="nil"/>
            </w:tcBorders>
            <w:shd w:val="clear" w:color="000000" w:fill="FFFFFF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b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718" w:type="dxa"/>
            <w:gridSpan w:val="2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 w:eastAsia="zh-CN"/>
              </w:rPr>
            </w:pPr>
            <w:r>
              <w:rPr>
                <w:rFonts w:ascii="仿宋" w:eastAsia="仿宋" w:cs="仿宋" w:hAnsi="仿宋" w:hint="eastAsia"/>
                <w:b/>
                <w:bCs/>
                <w:sz w:val="21"/>
                <w:szCs w:val="21"/>
                <w:lang w:val="zh-CN" w:eastAsia="zh-CN"/>
              </w:rPr>
              <w:t>17446428.87</w:t>
            </w:r>
          </w:p>
        </w:tc>
        <w:tc>
          <w:tcPr>
            <w:tcW w:w="15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b/>
                <w:sz w:val="21"/>
                <w:szCs w:val="21"/>
                <w:lang w:val="zh-CN"/>
              </w:rPr>
            </w:pPr>
          </w:p>
        </w:tc>
        <w:tc>
          <w:tcPr>
            <w:tcW w:w="324" w:type="dxa"/>
            <w:tcBorders>
              <w:tl2br w:val="nil"/>
              <w:tr2bl w:val="nil"/>
            </w:tcBorders>
            <w:shd w:val="clear" w:color="000000" w:fill="FFFFFF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</w:rPr>
            </w:pPr>
          </w:p>
        </w:tc>
        <w:tc>
          <w:tcPr>
            <w:tcW w:w="26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" w:eastAsia="仿宋" w:cs="仿宋" w:hAnsi="仿宋"/>
                <w:sz w:val="21"/>
                <w:szCs w:val="21"/>
              </w:rPr>
            </w:pPr>
          </w:p>
        </w:tc>
      </w:tr>
    </w:tbl>
    <w:p>
      <w:pPr>
        <w:ind w:left="0" w:firstLine="0"/>
        <w:rPr>
          <w:rFonts w:ascii="仿宋_GB2312" w:eastAsia="仿宋_GB2312" w:cs="仿宋_GB2312" w:hAnsi="仿宋_GB2312" w:hint="eastAsia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Chars="200" w:firstLine="640"/>
        <w:rPr>
          <w:rFonts w:ascii="楷体" w:eastAsia="楷体" w:cs="楷体" w:hAnsi="楷体" w:hint="eastAsia"/>
          <w:b/>
          <w:bCs/>
          <w:color w:val="auto"/>
          <w:sz w:val="32"/>
          <w:szCs w:val="32"/>
          <w:lang w:val="en-US" w:eastAsia="zh-CN"/>
        </w:rPr>
      </w:pPr>
      <w:bookmarkStart w:id="4" w:name="_Toc28496"/>
      <w:r>
        <w:rPr>
          <w:rFonts w:ascii="楷体" w:eastAsia="楷体" w:cs="楷体" w:hAnsi="楷体" w:hint="eastAsia"/>
          <w:b/>
          <w:bCs/>
          <w:color w:val="auto"/>
          <w:sz w:val="32"/>
          <w:szCs w:val="32"/>
          <w:lang w:val="en-US" w:eastAsia="zh-CN"/>
        </w:rPr>
        <w:t>3.担保情况分析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firstLineChars="200" w:firstLine="616"/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</w:rPr>
      </w:pPr>
      <w:r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  <w:lang w:val="en-US" w:eastAsia="zh-CN"/>
        </w:rPr>
        <w:t>3.1</w:t>
      </w:r>
      <w:r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</w:rPr>
        <w:t>抵押担保</w:t>
      </w:r>
    </w:p>
    <w:p>
      <w:pPr>
        <w:keepNext w:val="0"/>
        <w:keepLines w:val="0"/>
        <w:widowControl/>
        <w:suppressLineNumbers w:val="0"/>
        <w:ind w:firstLineChars="200" w:firstLine="640"/>
        <w:jc w:val="left"/>
        <w:rPr>
          <w:rFonts w:ascii="仿宋_GB2312" w:eastAsia="仿宋_GB2312" w:cs="仿宋_GB2312" w:hAnsi="仿宋_GB2312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抵押物1为运通草业公司名下位于宁县米桥镇米桥村的480头奶牛。截止2025年12月，法院现场勘察时，抵押奶牛现存栏约420头，且部分奶牛年龄偏大，并不满足产奶条件，实际价值大幅缩水。</w:t>
      </w:r>
    </w:p>
    <w:p>
      <w:pPr>
        <w:ind w:left="0" w:firstLineChars="200" w:firstLine="640"/>
        <w:rPr>
          <w:rFonts w:ascii="仿宋_GB2312" w:eastAsia="仿宋_GB2312" w:cs="仿宋_GB2312" w:hAnsi="仿宋_GB2312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抵押物2为借款人名下牛奶生产车间内的洗箱机组等22套设备，已经法院判决确认优先受偿。</w:t>
      </w:r>
    </w:p>
    <w:p>
      <w:pP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drawing>
          <wp:inline distT="0" distB="0" distL="85725" distR="85725">
            <wp:extent cx="2936240" cy="3582034"/>
            <wp:effectExtent l="1" t="1" r="0" b="1"/>
            <wp:docPr id="2" name="图片 2" descr="49c447ab2c915086ce2f50118287be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图片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6240" cy="3582034"/>
                    </a:xfrm>
                    <a:prstGeom prst="rect"/>
                    <a:noFill/>
                    <a:ln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66"/>
        <w:jc w:val="both"/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hint="eastAsia"/>
          <w:lang w:val="en-US" w:eastAsia="zh-CN"/>
        </w:rPr>
        <w:drawing>
          <wp:inline distT="0" distB="0" distL="85725" distR="85725">
            <wp:extent cx="3770629" cy="2110104"/>
            <wp:effectExtent l="0" t="0" r="1" b="0"/>
            <wp:docPr id="3" name="图片 3" descr="1e947663081677631e7e83b1679c42c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图片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70629" cy="2110104"/>
                    </a:xfrm>
                    <a:prstGeom prst="rect"/>
                    <a:noFill/>
                    <a:ln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33"/>
        <w:tabs>
          <w:tab w:val="clear" w:pos="4153"/>
          <w:tab w:val="clear" w:pos="8306"/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33"/>
        <w:tabs>
          <w:tab w:val="clear" w:pos="4153"/>
          <w:tab w:val="clear" w:pos="8306"/>
          <w:tab w:val="center" w:pos="4153"/>
          <w:tab w:val="right" w:pos="8306"/>
        </w:tabs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drawing>
          <wp:inline distT="0" distB="0" distL="85725" distR="85725">
            <wp:extent cx="5266761" cy="2962839"/>
            <wp:effectExtent l="0" t="0" r="0" b="0"/>
            <wp:docPr id="4" name="图片 4" descr="c58c8dccd8665d29cc0cc064dfc2df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761" cy="2962839"/>
                    </a:xfrm>
                    <a:prstGeom prst="rect"/>
                    <a:noFill/>
                    <a:ln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16"/>
        <w:rPr>
          <w:rFonts w:hint="eastAsia"/>
          <w:lang w:val="en-US" w:eastAsia="zh-CN"/>
        </w:rPr>
      </w:pPr>
    </w:p>
    <w:p>
      <w:pPr>
        <w:pStyle w:val="33"/>
        <w:tabs>
          <w:tab w:val="clear" w:pos="4153"/>
          <w:tab w:val="clear" w:pos="8306"/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457"/>
        </w:tabs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firstLineChars="200" w:firstLine="616"/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</w:rPr>
      </w:pPr>
      <w:r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  <w:lang w:val="en-US" w:eastAsia="zh-CN"/>
        </w:rPr>
        <w:t>3.2质押</w:t>
      </w:r>
      <w:r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</w:rPr>
        <w:t>担保</w:t>
      </w:r>
    </w:p>
    <w:p>
      <w:pPr>
        <w:keepNext w:val="0"/>
        <w:keepLines w:val="0"/>
        <w:pageBreakBefore w:val="0"/>
        <w:widowControl w:val="0"/>
        <w:tabs>
          <w:tab w:val="left" w:pos="2457"/>
        </w:tabs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firstLineChars="200" w:firstLine="640"/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质押物1为白永恒、运通草业公司持有借款企业的100%的股权。2018年9月30日取得宁夏工商行政管理局核发的（宁）股质登记设字[2018]第621026204、621026204号《股权出质设立登记通知书》，质权有效设立。</w:t>
      </w:r>
    </w:p>
    <w:p>
      <w:pPr>
        <w:keepNext w:val="0"/>
        <w:keepLines w:val="0"/>
        <w:pageBreakBefore w:val="0"/>
        <w:widowControl w:val="0"/>
        <w:tabs>
          <w:tab w:val="left" w:pos="2457"/>
        </w:tabs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firstLineChars="200" w:firstLine="640"/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质押物2为借款人庆阳陇牛乳业名下的应收账款16640744.92元。2020年10月29日，办理了应收账款质押登记，取得094666007001126905024《中国人民银行征信中心动产担保登记证明-初始登记》。</w:t>
      </w:r>
    </w:p>
    <w:p>
      <w:pPr>
        <w:keepNext w:val="0"/>
        <w:keepLines w:val="0"/>
        <w:pageBreakBefore w:val="0"/>
        <w:widowControl w:val="0"/>
        <w:tabs>
          <w:tab w:val="left" w:pos="2457"/>
        </w:tabs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firstLineChars="200" w:firstLine="616"/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</w:rPr>
      </w:pPr>
      <w:r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  <w:lang w:val="en-US" w:eastAsia="zh-CN"/>
        </w:rPr>
        <w:t>3.2</w:t>
      </w:r>
      <w:r>
        <w:rPr>
          <w:rFonts w:ascii="仿宋_GB2312" w:eastAsia="仿宋_GB2312" w:cs="仿宋_GB2312" w:hAnsi="仿宋_GB2312" w:hint="eastAsia"/>
          <w:b/>
          <w:bCs w:val="0"/>
          <w:color w:val="000000"/>
          <w:spacing w:val="-6"/>
          <w:sz w:val="32"/>
          <w:szCs w:val="32"/>
        </w:rPr>
        <w:t>保证担保</w:t>
      </w:r>
    </w:p>
    <w:p>
      <w:pPr>
        <w:ind w:left="0" w:firstLineChars="200" w:firstLine="640"/>
        <w:rPr>
          <w:rFonts w:ascii="仿宋_GB2312" w:eastAsia="仿宋_GB2312" w:cs="仿宋_GB2312" w:hAnsi="仿宋_GB2312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该笔债权由庆阳陇牛乳业有限公司、庆阳运通草业有限公司，以及自然人白永恒、王华宁提供连带责任保证担保。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left="0" w:firstLineChars="200" w:firstLine="640"/>
        <w:rPr>
          <w:rFonts w:ascii="仿宋_GB2312" w:eastAsia="仿宋_GB2312" w:cs="仿宋_GB2312" w:hAnsi="仿宋_GB2312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庆阳运通草业有限公司法定代表人白永恒，经营范围种畜禽经营；粮食收购；饲料生产；种畜禽生产；牲畜饲养。运通草业目前艰难维持经营，与借款企业实控人均为白永恒。保证人白永恒、王华宁系夫妻关系，担保人高度关联，担保能力不足。</w:t>
      </w:r>
    </w:p>
    <w:p>
      <w:pPr>
        <w:keepNext w:val="0"/>
        <w:keepLines w:val="0"/>
        <w:pageBreakBefore w:val="0"/>
        <w:widowControl w:val="0"/>
        <w:tabs>
          <w:tab w:val="left" w:pos="2457"/>
        </w:tabs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firstLineChars="200" w:firstLine="616"/>
        <w:rPr>
          <w:rFonts w:ascii="仿宋_GB2312" w:eastAsia="仿宋_GB2312" w:cs="仿宋_GB2312" w:hAnsi="仿宋_GB2312" w:hint="eastAsia"/>
          <w:b/>
          <w:color w:val="000000"/>
          <w:spacing w:val="-6"/>
          <w:sz w:val="32"/>
          <w:szCs w:val="32"/>
          <w:highlight w:val="yellow"/>
        </w:rPr>
      </w:pPr>
      <w:bookmarkStart w:id="5" w:name="_Toc30356"/>
      <w:r>
        <w:rPr>
          <w:rFonts w:ascii="仿宋_GB2312" w:eastAsia="仿宋_GB2312" w:cs="仿宋_GB2312" w:hAnsi="仿宋_GB2312" w:hint="eastAsia"/>
          <w:b/>
          <w:color w:val="000000"/>
          <w:spacing w:val="-6"/>
          <w:sz w:val="32"/>
          <w:szCs w:val="32"/>
        </w:rPr>
        <w:t>4.诉讼情况</w:t>
      </w:r>
      <w:bookmarkEnd w:id="5"/>
    </w:p>
    <w:p>
      <w:pPr>
        <w:ind w:left="0" w:firstLineChars="200" w:firstLine="640"/>
        <w:rPr>
          <w:rFonts w:ascii="仿宋_GB2312" w:eastAsia="仿宋_GB2312" w:cs="仿宋_GB2312" w:hAnsi="仿宋_GB2312"/>
          <w:b w:val="0"/>
          <w:bCs w:val="0"/>
          <w:kern w:val="2"/>
          <w:sz w:val="32"/>
          <w:szCs w:val="32"/>
          <w:lang w:val="en-US" w:eastAsia="zh-CN" w:bidi="ar-SA"/>
          <w:highlight w:val="none"/>
        </w:rPr>
      </w:pPr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2025年12月4日,宁县人民法院作出（2025）甘1026民初2084号《民</w:t>
      </w:r>
      <w:bookmarkStart w:id="6" w:name="_GoBack"/>
      <w:bookmarkEnd w:id="6"/>
      <w:r>
        <w:rPr>
          <w:rFonts w:ascii="仿宋_GB2312" w:eastAsia="仿宋_GB2312" w:cs="仿宋_GB2312" w:hAnsi="仿宋_GB2312" w:hint="eastAsia"/>
          <w:b w:val="0"/>
          <w:bCs w:val="0"/>
          <w:kern w:val="2"/>
          <w:sz w:val="32"/>
          <w:szCs w:val="32"/>
          <w:lang w:val="en-US" w:eastAsia="zh-CN" w:bidi="ar-SA"/>
          <w:highlight w:val="none"/>
        </w:rPr>
        <w:t>事判决书》，判决确认我司对抵押物、质押物享有优先受偿权，并判令各保证人承担连带清偿责任。截止目前，暂未申请强制执行。</w:t>
      </w: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DejaVu Sans"/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宋体">
    <w:altName w:val="汉仪仿宋简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文泉驿微米黑">
    <w:panose1 w:val="020B0606030804020204"/>
    <w:charset w:val="86"/>
    <w:family w:val="auto"/>
    <w:pitch w:val="variable"/>
    <w:sig w:usb0="E10002EF" w:usb1="6BDFFCFB" w:usb2="00800036" w:usb3="00000000" w:csb0="603E019F" w:csb1="DFD7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文泉驿微米黑" w:eastAsia="黑体" w:hAnsi="文泉驿微米黑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文泉驿微米黑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6">
    <w:name w:val="index 6"/>
    <w:qFormat/>
    <w:basedOn w:val="0"/>
    <w:autoRedefine/>
    <w:next w:val="0"/>
    <w:rPr>
      <w:rFonts w:ascii="Times New Roman" w:eastAsia="宋体" w:hAnsi="Times New Roman"/>
      <w:sz w:val="22"/>
    </w:rPr>
  </w:style>
  <w:style w:type="paragraph" w:styleId="33">
    <w:name w:val="footer"/>
    <w:qFormat/>
    <w:basedOn w:val="0"/>
    <w:next w:val="1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kern w:val="0"/>
      <w:sz w:val="18"/>
      <w:szCs w:val="18"/>
    </w:rPr>
  </w:style>
  <w:style w:type="paragraph" w:styleId="66">
    <w:name w:val="Body Text"/>
    <w:qFormat/>
    <w:basedOn w:val="0"/>
    <w:next w:val="33"/>
    <w:pPr>
      <w:jc w:val="center"/>
    </w:pPr>
    <w:rPr>
      <w:rFonts w:ascii="Times New Roman" w:eastAsia="宋体" w:hAnsi="Times New Roman"/>
      <w:sz w:val="4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jpg"/><Relationship Id="rId3" Type="http://schemas.openxmlformats.org/officeDocument/2006/relationships/image" Target="media/3.jpg"/><Relationship Id="rId4" Type="http://schemas.openxmlformats.org/officeDocument/2006/relationships/image" Target="media/5.jp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96749F78-EFC6-4305-B690-0FCE08D6DD5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Yozo_Office9.0.7057.191ZH.S1</Application>
  <Pages>4</Pages>
  <Words>0</Words>
  <Characters>1030</Characters>
  <Lines>0</Lines>
  <Paragraphs>28</Paragraphs>
  <CharactersWithSpaces>1374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huawei</cp:lastModifiedBy>
  <cp:revision>2</cp:revision>
  <dcterms:created xsi:type="dcterms:W3CDTF">2021-05-08T07:28:00Z</dcterms:created>
  <dcterms:modified xsi:type="dcterms:W3CDTF">2026-07-31T04:37:46Z</dcterms:modified>
</cp:coreProperties>
</file>