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2FA2A">
      <w:pPr>
        <w:pStyle w:val="2"/>
        <w:keepNext w:val="0"/>
        <w:keepLines w:val="0"/>
        <w:widowControl/>
        <w:suppressLineNumbers w:val="0"/>
        <w:jc w:val="center"/>
        <w:rPr>
          <w:rStyle w:val="5"/>
          <w:sz w:val="48"/>
          <w:szCs w:val="48"/>
        </w:rPr>
      </w:pPr>
    </w:p>
    <w:p w14:paraId="565811F7">
      <w:pPr>
        <w:keepNext w:val="0"/>
        <w:keepLines w:val="0"/>
        <w:pageBreakBefore w:val="0"/>
        <w:kinsoku/>
        <w:wordWrap/>
        <w:overflowPunct/>
        <w:topLinePunct w:val="0"/>
        <w:bidi w:val="0"/>
        <w:adjustRightInd w:val="0"/>
        <w:snapToGrid w:val="0"/>
        <w:spacing w:line="560" w:lineRule="exact"/>
        <w:ind w:firstLine="0" w:firstLineChars="0"/>
        <w:jc w:val="center"/>
        <w:rPr>
          <w:rFonts w:hint="eastAsia" w:ascii="方正小标宋简体" w:hAnsi="方正小标宋简体" w:eastAsia="方正小标宋简体" w:cs="方正小标宋简体"/>
          <w:b w:val="0"/>
          <w:bCs/>
          <w:color w:val="000000"/>
          <w:sz w:val="44"/>
          <w:lang w:val="en-US" w:eastAsia="zh-CN"/>
        </w:rPr>
      </w:pPr>
      <w:r>
        <w:rPr>
          <w:rFonts w:hint="eastAsia" w:ascii="方正小标宋简体" w:hAnsi="方正小标宋简体" w:eastAsia="方正小标宋简体" w:cs="方正小标宋简体"/>
          <w:b w:val="0"/>
          <w:bCs/>
          <w:color w:val="000000"/>
          <w:sz w:val="44"/>
          <w:lang w:val="en-US" w:eastAsia="zh-CN"/>
        </w:rPr>
        <w:t>甘肃资产管理有限公司名下位于陇南市武都区泰和丽景13套商业房产办理产权</w:t>
      </w:r>
    </w:p>
    <w:p w14:paraId="15029DEF">
      <w:pPr>
        <w:keepNext w:val="0"/>
        <w:keepLines w:val="0"/>
        <w:pageBreakBefore w:val="0"/>
        <w:kinsoku/>
        <w:wordWrap/>
        <w:overflowPunct/>
        <w:topLinePunct w:val="0"/>
        <w:bidi w:val="0"/>
        <w:adjustRightInd w:val="0"/>
        <w:snapToGrid w:val="0"/>
        <w:spacing w:line="560" w:lineRule="exact"/>
        <w:ind w:firstLine="0" w:firstLineChars="0"/>
        <w:jc w:val="center"/>
        <w:rPr>
          <w:rFonts w:hint="default" w:ascii="方正小标宋简体" w:hAnsi="方正小标宋简体" w:eastAsia="方正小标宋简体" w:cs="方正小标宋简体"/>
          <w:b w:val="0"/>
          <w:bCs/>
          <w:color w:val="000000"/>
          <w:sz w:val="44"/>
          <w:lang w:val="en-US" w:eastAsia="zh-CN"/>
        </w:rPr>
      </w:pPr>
      <w:r>
        <w:rPr>
          <w:rFonts w:hint="eastAsia" w:ascii="方正小标宋简体" w:hAnsi="方正小标宋简体" w:eastAsia="方正小标宋简体" w:cs="方正小标宋简体"/>
          <w:b w:val="0"/>
          <w:bCs/>
          <w:color w:val="000000"/>
          <w:sz w:val="44"/>
          <w:lang w:val="en-US" w:eastAsia="zh-CN"/>
        </w:rPr>
        <w:t>变更服务项目</w:t>
      </w:r>
    </w:p>
    <w:p w14:paraId="629663FB">
      <w:pPr>
        <w:pStyle w:val="2"/>
        <w:keepNext w:val="0"/>
        <w:keepLines w:val="0"/>
        <w:widowControl/>
        <w:suppressLineNumbers w:val="0"/>
        <w:jc w:val="both"/>
        <w:rPr>
          <w:rStyle w:val="5"/>
          <w:sz w:val="44"/>
          <w:szCs w:val="44"/>
        </w:rPr>
      </w:pPr>
    </w:p>
    <w:p w14:paraId="710FA538">
      <w:pPr>
        <w:pStyle w:val="2"/>
        <w:keepNext w:val="0"/>
        <w:keepLines w:val="0"/>
        <w:widowControl/>
        <w:suppressLineNumbers w:val="0"/>
        <w:jc w:val="center"/>
        <w:rPr>
          <w:rStyle w:val="5"/>
          <w:sz w:val="44"/>
          <w:szCs w:val="44"/>
        </w:rPr>
      </w:pPr>
      <w:r>
        <w:rPr>
          <w:rStyle w:val="5"/>
          <w:sz w:val="44"/>
          <w:szCs w:val="44"/>
        </w:rPr>
        <w:t>竞争性谈判采购文件</w:t>
      </w:r>
    </w:p>
    <w:p w14:paraId="7C11103D">
      <w:pPr>
        <w:pStyle w:val="2"/>
        <w:keepNext w:val="0"/>
        <w:keepLines w:val="0"/>
        <w:widowControl/>
        <w:suppressLineNumbers w:val="0"/>
        <w:jc w:val="center"/>
        <w:rPr>
          <w:rStyle w:val="5"/>
          <w:sz w:val="44"/>
          <w:szCs w:val="44"/>
        </w:rPr>
      </w:pPr>
    </w:p>
    <w:p w14:paraId="108A9D7E">
      <w:pPr>
        <w:pStyle w:val="2"/>
        <w:keepNext w:val="0"/>
        <w:keepLines w:val="0"/>
        <w:widowControl/>
        <w:suppressLineNumbers w:val="0"/>
        <w:jc w:val="center"/>
        <w:rPr>
          <w:rStyle w:val="5"/>
          <w:sz w:val="44"/>
          <w:szCs w:val="44"/>
        </w:rPr>
      </w:pPr>
    </w:p>
    <w:p w14:paraId="52C589E1">
      <w:pPr>
        <w:pStyle w:val="2"/>
        <w:keepNext w:val="0"/>
        <w:keepLines w:val="0"/>
        <w:widowControl/>
        <w:suppressLineNumbers w:val="0"/>
        <w:jc w:val="both"/>
        <w:rPr>
          <w:rStyle w:val="5"/>
          <w:sz w:val="44"/>
          <w:szCs w:val="44"/>
        </w:rPr>
      </w:pPr>
    </w:p>
    <w:p w14:paraId="7879D012">
      <w:pPr>
        <w:pStyle w:val="2"/>
        <w:keepNext w:val="0"/>
        <w:keepLines w:val="0"/>
        <w:widowControl/>
        <w:suppressLineNumbers w:val="0"/>
        <w:jc w:val="center"/>
        <w:rPr>
          <w:rStyle w:val="5"/>
          <w:sz w:val="44"/>
          <w:szCs w:val="44"/>
        </w:rPr>
      </w:pPr>
    </w:p>
    <w:p w14:paraId="69F13000">
      <w:pPr>
        <w:pStyle w:val="2"/>
        <w:keepNext w:val="0"/>
        <w:keepLines w:val="0"/>
        <w:widowControl/>
        <w:suppressLineNumbers w:val="0"/>
        <w:jc w:val="center"/>
        <w:rPr>
          <w:rStyle w:val="5"/>
          <w:sz w:val="44"/>
          <w:szCs w:val="44"/>
        </w:rPr>
      </w:pPr>
      <w:bookmarkStart w:id="0" w:name="_GoBack"/>
      <w:bookmarkEnd w:id="0"/>
    </w:p>
    <w:p w14:paraId="2AA8B6A4">
      <w:pPr>
        <w:pStyle w:val="2"/>
        <w:keepNext w:val="0"/>
        <w:keepLines w:val="0"/>
        <w:widowControl/>
        <w:suppressLineNumbers w:val="0"/>
        <w:jc w:val="center"/>
        <w:rPr>
          <w:rFonts w:hint="eastAsia" w:eastAsiaTheme="minorEastAsia"/>
          <w:sz w:val="44"/>
          <w:szCs w:val="44"/>
          <w:lang w:eastAsia="zh-CN"/>
        </w:rPr>
      </w:pPr>
      <w:r>
        <w:rPr>
          <w:rStyle w:val="5"/>
          <w:sz w:val="44"/>
          <w:szCs w:val="44"/>
        </w:rPr>
        <w:t>项目编号：</w:t>
      </w:r>
    </w:p>
    <w:p w14:paraId="5C893E58">
      <w:pPr>
        <w:pStyle w:val="2"/>
        <w:keepNext w:val="0"/>
        <w:keepLines w:val="0"/>
        <w:widowControl/>
        <w:suppressLineNumbers w:val="0"/>
        <w:jc w:val="center"/>
        <w:rPr>
          <w:sz w:val="44"/>
          <w:szCs w:val="44"/>
        </w:rPr>
      </w:pPr>
      <w:r>
        <w:rPr>
          <w:rStyle w:val="5"/>
          <w:sz w:val="44"/>
          <w:szCs w:val="44"/>
        </w:rPr>
        <w:t>采 购 人：甘肃资产管理有限公司</w:t>
      </w:r>
    </w:p>
    <w:p w14:paraId="6A2BDBF8">
      <w:pPr>
        <w:pStyle w:val="2"/>
        <w:keepNext w:val="0"/>
        <w:keepLines w:val="0"/>
        <w:widowControl/>
        <w:suppressLineNumbers w:val="0"/>
        <w:jc w:val="center"/>
        <w:rPr>
          <w:sz w:val="44"/>
          <w:szCs w:val="44"/>
        </w:rPr>
      </w:pPr>
      <w:r>
        <w:rPr>
          <w:rStyle w:val="5"/>
          <w:sz w:val="44"/>
          <w:szCs w:val="44"/>
        </w:rPr>
        <w:t>二〇二六年</w:t>
      </w:r>
      <w:r>
        <w:rPr>
          <w:rStyle w:val="5"/>
          <w:rFonts w:hint="eastAsia"/>
          <w:sz w:val="44"/>
          <w:szCs w:val="44"/>
          <w:lang w:eastAsia="zh-CN"/>
        </w:rPr>
        <w:t>八</w:t>
      </w:r>
      <w:r>
        <w:rPr>
          <w:rStyle w:val="5"/>
          <w:sz w:val="44"/>
          <w:szCs w:val="44"/>
        </w:rPr>
        <w:t>月</w:t>
      </w:r>
    </w:p>
    <w:p w14:paraId="45354C0C">
      <w:pPr>
        <w:keepNext w:val="0"/>
        <w:keepLines w:val="0"/>
        <w:widowControl/>
        <w:suppressLineNumbers w:val="0"/>
      </w:pPr>
    </w:p>
    <w:p w14:paraId="1E9CE81C">
      <w:pPr>
        <w:pStyle w:val="2"/>
        <w:keepNext w:val="0"/>
        <w:keepLines w:val="0"/>
        <w:widowControl/>
        <w:suppressLineNumbers w:val="0"/>
        <w:ind w:firstLine="2640" w:firstLineChars="600"/>
        <w:jc w:val="both"/>
        <w:rPr>
          <w:rFonts w:hint="eastAsia" w:ascii="方正小标宋简体" w:hAnsi="方正小标宋简体" w:eastAsia="方正小标宋简体" w:cs="方正小标宋简体"/>
          <w:b w:val="0"/>
          <w:bCs/>
          <w:sz w:val="44"/>
          <w:szCs w:val="44"/>
        </w:rPr>
      </w:pPr>
      <w:r>
        <w:rPr>
          <w:rStyle w:val="5"/>
          <w:rFonts w:hint="eastAsia" w:ascii="方正小标宋简体" w:hAnsi="方正小标宋简体" w:eastAsia="方正小标宋简体" w:cs="方正小标宋简体"/>
          <w:b w:val="0"/>
          <w:bCs/>
          <w:sz w:val="44"/>
          <w:szCs w:val="44"/>
        </w:rPr>
        <w:t>竞争性谈判公告</w:t>
      </w:r>
    </w:p>
    <w:p w14:paraId="2ED9AB1D">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甘肃资产管理有限公司（以下简称“采购人”）现就聘请专业机构对我公司名下位于陇南市武都区泰和丽景13套商业房产办理产权变更服务项目进行竞争性谈判采购，欢迎符合资格条件的潜在供应商参加。</w:t>
      </w:r>
    </w:p>
    <w:p w14:paraId="6A128C53">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lang w:val="en-US" w:eastAsia="zh-CN"/>
        </w:rPr>
        <w:t>一、项目基本情况</w:t>
      </w:r>
    </w:p>
    <w:p w14:paraId="0666FD10">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项目名称：甘肃资产管理有限公司名下位于陇南市武都区泰和丽景13套商业房产办理产权变更服务项目</w:t>
      </w:r>
    </w:p>
    <w:p w14:paraId="17C4A0DD">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采购方式：谈判采购</w:t>
      </w:r>
    </w:p>
    <w:p w14:paraId="3E62AB33">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项目背景与服务内容：</w:t>
      </w:r>
    </w:p>
    <w:p w14:paraId="31F8A45F">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采购人因处置采购人名下位于陇南市武都区东江新区泰和丽景小区的13套商业铺面，总建筑面积合计6682.69平方米），需完成该13套抵债资产的不动产权属由原所有权人变更登记至采购人名下，</w:t>
      </w:r>
      <w:r>
        <w:rPr>
          <w:rFonts w:hint="eastAsia" w:ascii="仿宋_GB2312" w:hAnsi="仿宋_GB2312" w:eastAsia="仿宋_GB2312" w:cs="仿宋_GB2312"/>
          <w:color w:val="FF0000"/>
          <w:spacing w:val="0"/>
          <w:sz w:val="32"/>
          <w:szCs w:val="32"/>
          <w:lang w:val="en-US" w:eastAsia="zh-CN"/>
        </w:rPr>
        <w:t>以及根据采购人需要办理后续转移及变更登记的全部手续，</w:t>
      </w:r>
      <w:r>
        <w:rPr>
          <w:rFonts w:hint="eastAsia" w:ascii="仿宋_GB2312" w:hAnsi="仿宋_GB2312" w:eastAsia="仿宋_GB2312" w:cs="仿宋_GB2312"/>
          <w:color w:val="auto"/>
          <w:spacing w:val="0"/>
          <w:sz w:val="32"/>
          <w:szCs w:val="32"/>
          <w:lang w:val="en-US" w:eastAsia="zh-CN"/>
        </w:rPr>
        <w:t>现需聘请具丰富经验的专业机构提供权属变更登记全流程专业服务。</w:t>
      </w:r>
    </w:p>
    <w:p w14:paraId="776263E7">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服务内容包括但不限于：尽职调查，产权变更登记实施方案制定，与不动产登记机构、税务部门、住建部门等主管机关沟通协调，协调解决权属变更登记过程中出现的各类问题，必要时协调测绘、评估等中介服务机构配合完成相关工作，准备并代为递交（如需）权属变更所需的全部申请材料，提供权属变更登记所需的咨询服务、协助采购人取得不动产权证书等。</w:t>
      </w:r>
    </w:p>
    <w:p w14:paraId="4853A37B">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采购需求：通过本次竞争性谈判，择优选定1家供应商。</w:t>
      </w:r>
    </w:p>
    <w:p w14:paraId="2F973621">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 xml:space="preserve">服务期限：自本合同签订之日起，至采购人完成全部13套房产的权属变更登记手续，且若在本合同签订前或履行期间，服务标的资产中任一房产的权属已转让至第三人名下的，则服务期限至该类房产权属变更登记至第三人名下完成之日止。    </w:t>
      </w:r>
    </w:p>
    <w:p w14:paraId="1AA85802">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服务费计费原则：具体计费公式以最终谈判结果及合同约定为准。</w:t>
      </w:r>
    </w:p>
    <w:p w14:paraId="61B10586">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本项目不接受联合体谈判。</w:t>
      </w:r>
    </w:p>
    <w:p w14:paraId="28F10E8C">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黑体" w:hAnsi="黑体" w:eastAsia="黑体" w:cs="黑体"/>
          <w:color w:val="auto"/>
          <w:spacing w:val="0"/>
          <w:sz w:val="32"/>
          <w:szCs w:val="32"/>
          <w:lang w:val="en-US" w:eastAsia="zh-CN"/>
        </w:rPr>
        <w:t>二、供应商资格要求</w:t>
      </w:r>
    </w:p>
    <w:p w14:paraId="659C541E">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1.符合《中华人民共和国政府采购法》第二十二条规定,并提供《中华人民共和国政府采购法实施条例》第十七条所要求的材料；①在中华人民共和国境内注册，具有有效的营业执照（复印件并加盖公章）；②2026年1月至今任意一个月的缴纳税收的有效票据凭证（复印件加盖公章）；③2026年1月至今任意一个月缴纳社保资金的有效票据凭证（复印件加盖公章）；④由会计事务所出具的2025年度财务审计报告或银行资信证明（复印件加盖公章）；⑤具有履行合同所必需的设备和专业技术能力（提供书面承诺函）；⑥参加政府采购活动前三年内，在经营活动中没有重大违法记录的书面声明；</w:t>
      </w:r>
    </w:p>
    <w:p w14:paraId="4BB858D6">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2.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以公告发布之日至响应文件提交截止日在“信用中国”网站（www.creditchina.gov.cn）、中国政府采购网(www.ccgp.gov.cn)查询结果为准，如相关失信记录已失效，供应商需提供相关证明资料）。</w:t>
      </w:r>
    </w:p>
    <w:p w14:paraId="4E4B7356">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3.近三年（自2023年7月1日起）承揽过相关抵债资产过户服务项目的成功案例（提供合同及完成证明文件（发票或收款凭证））；</w:t>
      </w:r>
    </w:p>
    <w:p w14:paraId="1E2C2C91">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4.本项目不接受联合体。</w:t>
      </w:r>
    </w:p>
    <w:p w14:paraId="0762BF22">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lang w:val="en-US" w:eastAsia="zh-CN"/>
        </w:rPr>
        <w:t>三、获取谈判文件</w:t>
      </w:r>
    </w:p>
    <w:p w14:paraId="1025AA45">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时间：2026年8月</w:t>
      </w:r>
      <w:r>
        <w:rPr>
          <w:rFonts w:hint="eastAsia" w:ascii="仿宋_GB2312" w:hAnsi="仿宋_GB2312" w:eastAsia="仿宋_GB2312" w:cs="仿宋_GB2312"/>
          <w:color w:val="auto"/>
          <w:spacing w:val="0"/>
          <w:sz w:val="32"/>
          <w:szCs w:val="32"/>
          <w:u w:val="single"/>
          <w:lang w:val="en-US" w:eastAsia="zh-CN"/>
        </w:rPr>
        <w:t>11</w:t>
      </w:r>
      <w:r>
        <w:rPr>
          <w:rFonts w:hint="eastAsia" w:ascii="仿宋_GB2312" w:hAnsi="仿宋_GB2312" w:eastAsia="仿宋_GB2312" w:cs="仿宋_GB2312"/>
          <w:color w:val="auto"/>
          <w:spacing w:val="0"/>
          <w:sz w:val="32"/>
          <w:szCs w:val="32"/>
          <w:lang w:val="en-US" w:eastAsia="zh-CN"/>
        </w:rPr>
        <w:t>日至</w:t>
      </w:r>
      <w:r>
        <w:rPr>
          <w:rFonts w:hint="eastAsia" w:ascii="仿宋_GB2312" w:hAnsi="仿宋_GB2312" w:eastAsia="仿宋_GB2312" w:cs="仿宋_GB2312"/>
          <w:color w:val="auto"/>
          <w:spacing w:val="0"/>
          <w:sz w:val="32"/>
          <w:szCs w:val="32"/>
          <w:u w:val="single"/>
          <w:lang w:val="en-US" w:eastAsia="zh-CN"/>
        </w:rPr>
        <w:t xml:space="preserve"> 8 </w:t>
      </w:r>
      <w:r>
        <w:rPr>
          <w:rFonts w:hint="eastAsia" w:ascii="仿宋_GB2312" w:hAnsi="仿宋_GB2312" w:eastAsia="仿宋_GB2312" w:cs="仿宋_GB2312"/>
          <w:color w:val="auto"/>
          <w:spacing w:val="0"/>
          <w:sz w:val="32"/>
          <w:szCs w:val="32"/>
          <w:lang w:val="en-US" w:eastAsia="zh-CN"/>
        </w:rPr>
        <w:t>月</w:t>
      </w:r>
      <w:r>
        <w:rPr>
          <w:rFonts w:hint="eastAsia" w:ascii="仿宋_GB2312" w:hAnsi="仿宋_GB2312" w:eastAsia="仿宋_GB2312" w:cs="仿宋_GB2312"/>
          <w:color w:val="auto"/>
          <w:spacing w:val="0"/>
          <w:sz w:val="32"/>
          <w:szCs w:val="32"/>
          <w:u w:val="single"/>
          <w:lang w:val="en-US" w:eastAsia="zh-CN"/>
        </w:rPr>
        <w:t xml:space="preserve"> 14 </w:t>
      </w:r>
      <w:r>
        <w:rPr>
          <w:rFonts w:hint="eastAsia" w:ascii="仿宋_GB2312" w:hAnsi="仿宋_GB2312" w:eastAsia="仿宋_GB2312" w:cs="仿宋_GB2312"/>
          <w:color w:val="auto"/>
          <w:spacing w:val="0"/>
          <w:sz w:val="32"/>
          <w:szCs w:val="32"/>
          <w:lang w:val="en-US" w:eastAsia="zh-CN"/>
        </w:rPr>
        <w:t>日（上午8:30-12:00，下午14:30-18:00）。</w:t>
      </w:r>
    </w:p>
    <w:p w14:paraId="1F5515E8">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地点/方式：甘肃资产管理有限公司运营管理部（地址：甘肃省兰州市七里河区瓜州路4800号1908室）或线上邮箱发送，邮箱：wanglifeng@gansuamc.com]。</w:t>
      </w:r>
    </w:p>
    <w:p w14:paraId="48683F3C">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lang w:val="en-US" w:eastAsia="zh-CN"/>
        </w:rPr>
        <w:t>四、响应文件递交截止时间及谈判时间</w:t>
      </w:r>
    </w:p>
    <w:p w14:paraId="22BC567D">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响应文件递交截止时间：2026年8月14日[18]时[00]分（北京时间）。</w:t>
      </w:r>
    </w:p>
    <w:p w14:paraId="25A94F58">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谈判时间：自响应文件递交截止时间后，向入围供应商以书面形式另行告知</w:t>
      </w:r>
    </w:p>
    <w:p w14:paraId="325AE2F0">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地点：甘肃省兰州市七里河区瓜州路4800号1908室。</w:t>
      </w:r>
    </w:p>
    <w:p w14:paraId="2423A256">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逾期送达或未密封的响应文件，采购人不予受理。</w:t>
      </w:r>
    </w:p>
    <w:p w14:paraId="4FA6A15A">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lang w:val="en-US" w:eastAsia="zh-CN"/>
        </w:rPr>
        <w:t>五、公告期限</w:t>
      </w:r>
    </w:p>
    <w:p w14:paraId="387E4CC7">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自本公告发布之日起四个工作日。</w:t>
      </w:r>
    </w:p>
    <w:p w14:paraId="0AF8ECF4">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lang w:val="en-US" w:eastAsia="zh-CN"/>
        </w:rPr>
        <w:t>六、联系方式</w:t>
      </w:r>
    </w:p>
    <w:p w14:paraId="2C256B49">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采购人：甘肃资产管理有限公司</w:t>
      </w:r>
    </w:p>
    <w:p w14:paraId="79CF2A53">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地址：甘肃省兰州市七里河区瓜州路4800号1908室</w:t>
      </w:r>
    </w:p>
    <w:p w14:paraId="494B04AD">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联系人：王先生</w:t>
      </w:r>
    </w:p>
    <w:p w14:paraId="0DEFDB49">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联系电话：13321218801</w:t>
      </w:r>
    </w:p>
    <w:p w14:paraId="6F1EC83B">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监督部门：甘肃资产管理有限公司党群工作部</w:t>
      </w:r>
    </w:p>
    <w:p w14:paraId="18FF0D12">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联系电话：0931-8612983</w:t>
      </w:r>
    </w:p>
    <w:p w14:paraId="65E67569">
      <w:pPr>
        <w:keepNext w:val="0"/>
        <w:keepLines w:val="0"/>
        <w:pageBreakBefore w:val="0"/>
        <w:widowControl/>
        <w:kinsoku/>
        <w:wordWrap w:val="0"/>
        <w:overflowPunct/>
        <w:topLinePunct w:val="0"/>
        <w:autoSpaceDE/>
        <w:autoSpaceDN/>
        <w:bidi w:val="0"/>
        <w:adjustRightInd/>
        <w:snapToGrid/>
        <w:spacing w:line="576" w:lineRule="exact"/>
        <w:ind w:firstLine="3200" w:firstLineChars="1000"/>
        <w:jc w:val="both"/>
        <w:textAlignment w:val="auto"/>
        <w:rPr>
          <w:rFonts w:hint="eastAsia"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lang w:val="en-US" w:eastAsia="zh-CN"/>
        </w:rPr>
        <w:t>第一章 谈判须知</w:t>
      </w:r>
    </w:p>
    <w:p w14:paraId="0B780E17">
      <w:pPr>
        <w:keepNext w:val="0"/>
        <w:keepLines w:val="0"/>
        <w:pageBreakBefore w:val="0"/>
        <w:widowControl/>
        <w:kinsoku/>
        <w:wordWrap w:val="0"/>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一、总则</w:t>
      </w:r>
    </w:p>
    <w:p w14:paraId="669734B0">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项目说明：本项目为单来源竞争性谈判。谈判小组将根据本文件规定的评审方法和标准，对实质上响应谈判文件要求的响应文件进行评估和比较。</w:t>
      </w:r>
    </w:p>
    <w:p w14:paraId="57516257">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费用承担：供应商应承担所有与准备和递交响应文件有关的费用，采购人在任何情况下均无义务和责任承担这些费用。</w:t>
      </w:r>
    </w:p>
    <w:p w14:paraId="726EDB4A">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谈判费用：无论谈判过程中的做法和结果如何，供应商均应自行承担所有与参加谈判有关的全部费用。</w:t>
      </w:r>
    </w:p>
    <w:p w14:paraId="2A16976F">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谈判方式：采用腾讯会议方式，会议时间及会议号由采购方提供至供应商。</w:t>
      </w:r>
    </w:p>
    <w:p w14:paraId="14193387">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二、谈判文件</w:t>
      </w:r>
    </w:p>
    <w:p w14:paraId="2C5CA772">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文件构成：谈判文件包括竞争性谈判公告、谈判须知、项目需求、评审办法、响应文件等。</w:t>
      </w:r>
    </w:p>
    <w:p w14:paraId="691D078C">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文件澄清：供应商对谈判文件有疑问的，应在响应文件递交截止时间3日前以书面形式提交采购人。采购人将以书面形式予以澄清，并通知所有获取谈判文件的潜在供应商。</w:t>
      </w:r>
    </w:p>
    <w:p w14:paraId="72DB85ED">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三、响应文件的编制</w:t>
      </w:r>
    </w:p>
    <w:p w14:paraId="7F88BC42">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语言及计量：响应文件、所有往来文件均使用中文。计量单位使用国家法定计量单位。</w:t>
      </w:r>
    </w:p>
    <w:p w14:paraId="394A0F24">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响应文件构成：</w:t>
      </w:r>
    </w:p>
    <w:p w14:paraId="6F6576DA">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资格证明文件：包括营业执照、税务登记、社保缴纳证明、信用记录查询截图、“无重大违法记录”承诺函等。</w:t>
      </w:r>
    </w:p>
    <w:p w14:paraId="79E7DA31">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商务技术文件：包括谈判函、法定代表人身份证明、授权委托书、供应商基本情况、服务团队介绍（核心人员资质、经验、本地化资源说明）、类似项目业绩证明、针对本项目的详细服务方案（含工作计划、沟通协调策略、风险控制措施）、保密承诺、服务承诺等。</w:t>
      </w:r>
    </w:p>
    <w:p w14:paraId="723CA975">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报价文件：包括报价一览表、分项报价明细、服务费计算方案。报价应列明付款前提与金额建议。</w:t>
      </w:r>
    </w:p>
    <w:p w14:paraId="18265011">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谈判有效期：响应文件自递交截止之日起20日内有效，</w:t>
      </w:r>
    </w:p>
    <w:p w14:paraId="7218287D">
      <w:pPr>
        <w:keepNext w:val="0"/>
        <w:keepLines w:val="0"/>
        <w:pageBreakBefore w:val="0"/>
        <w:widowControl/>
        <w:kinsoku/>
        <w:wordWrap w:val="0"/>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本次谈判不设定谈判保证金。</w:t>
      </w:r>
    </w:p>
    <w:p w14:paraId="40E57C08">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四、谈判、评审与成交</w:t>
      </w:r>
    </w:p>
    <w:p w14:paraId="150104A5">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谈判小组：由采购人依法组建，成员为5人及以上单数。</w:t>
      </w:r>
    </w:p>
    <w:p w14:paraId="4A97169F">
      <w:pPr>
        <w:keepNext w:val="0"/>
        <w:keepLines w:val="0"/>
        <w:pageBreakBefore w:val="0"/>
        <w:widowControl/>
        <w:kinsoku/>
        <w:wordWrap w:val="0"/>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谈判程序：</w:t>
      </w:r>
    </w:p>
    <w:p w14:paraId="7207D36C">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a. 资格性审查：谈判小组依据资格要求对供应商进行审查。</w:t>
      </w:r>
    </w:p>
    <w:p w14:paraId="3C916F76">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b. 符合性审查：审查响应文件是否实质上响应谈判文件要求。</w:t>
      </w:r>
    </w:p>
    <w:p w14:paraId="0A12D130">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c. 谈判：谈判小组所有成员集中与单一供应商分别进行谈判。谈判中，谈判的任何一方不得透露与谈判有关的其他供应商的技术资料、价格和其他信息。谈判文件有实质性变动的，谈判小组应当以书面或邮件形式通知所有参加谈判的供应商。</w:t>
      </w:r>
    </w:p>
    <w:p w14:paraId="2956843B">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d. 最终报价：在谈判结束后，所有参加谈判的供应商在规定时间内提交最后报价及有关承诺。</w:t>
      </w:r>
    </w:p>
    <w:p w14:paraId="6EEF4914">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评审方法：采用综合评分法。评审因素主要包括：服务方案、服务团队与本地资源、类似业绩、价格等。着重考察服务能力和可行性。具体评分细则详见评审办法章节。</w:t>
      </w:r>
    </w:p>
    <w:p w14:paraId="66616F6F">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成交原则：谈判小组根据评审办法对最终报价文件进行综合评分，按得分从高到低顺序推荐成交候选人。采购人根据谈判小组的书面报告和推荐的成交候选人顺序确定成交供应商。</w:t>
      </w:r>
    </w:p>
    <w:p w14:paraId="622B784B">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五、合同的签订</w:t>
      </w:r>
    </w:p>
    <w:p w14:paraId="487D28F1">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成交供应商应在收到成交通知书后30日内，与采购人签订书面合同。合同主要条款（如服务内容、费用及支付、保密、违约责任等）应以谈判文件、响应文件及成交结果为依据。服务费支付方式建议与关键服务节点挂钩。</w:t>
      </w:r>
    </w:p>
    <w:p w14:paraId="0C007DE3">
      <w:pPr>
        <w:keepNext w:val="0"/>
        <w:keepLines w:val="0"/>
        <w:pageBreakBefore w:val="0"/>
        <w:widowControl/>
        <w:kinsoku/>
        <w:wordWrap w:val="0"/>
        <w:overflowPunct/>
        <w:topLinePunct w:val="0"/>
        <w:autoSpaceDE/>
        <w:autoSpaceDN/>
        <w:bidi w:val="0"/>
        <w:adjustRightInd/>
        <w:snapToGrid/>
        <w:spacing w:line="576" w:lineRule="exact"/>
        <w:ind w:firstLine="2560" w:firstLineChars="800"/>
        <w:textAlignment w:val="auto"/>
        <w:rPr>
          <w:rFonts w:hint="eastAsia"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lang w:val="en-US" w:eastAsia="zh-CN"/>
        </w:rPr>
        <w:t>第二章 项目需求与要求</w:t>
      </w:r>
    </w:p>
    <w:p w14:paraId="34638FB5">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一、服务目标</w:t>
      </w:r>
    </w:p>
    <w:p w14:paraId="36A593B6">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合法、合规、高效地完成采购人持有的宝海实业债权项下抵债资产的过户事宜。</w:t>
      </w:r>
    </w:p>
    <w:p w14:paraId="528F918B">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二、服务内容与交付成果</w:t>
      </w:r>
    </w:p>
    <w:p w14:paraId="5A080651">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1.尽职调查与权属核查</w:t>
      </w:r>
    </w:p>
    <w:p w14:paraId="5461959D">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1.1核查资产是否存在租赁、占用等实际情况；</w:t>
      </w:r>
    </w:p>
    <w:p w14:paraId="61AF6AF7">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1.2核查是否存在欠缴税费（房产税、土地使用税等）、物业费、水电费等情况；</w:t>
      </w:r>
    </w:p>
    <w:p w14:paraId="7FA87D85">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1.3出具正式的尽职调查报告，并提出风险提示和应对建议。</w:t>
      </w:r>
    </w:p>
    <w:p w14:paraId="016EAA21">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2.过户方案制定</w:t>
      </w:r>
    </w:p>
    <w:p w14:paraId="2E446F36">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2.1针对每套资产（含同一产证项下多套铺面）制定个性化过户方案；</w:t>
      </w:r>
    </w:p>
    <w:p w14:paraId="5A9B04FA">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2.2 明确过户流程、时间节点、责任分工；</w:t>
      </w:r>
    </w:p>
    <w:p w14:paraId="0252C52E">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2.3对采购人已出售的资产，协助完成从采购方名下过户至买受人的相关手续；</w:t>
      </w:r>
    </w:p>
    <w:p w14:paraId="76A0233E">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2.4方案须经采购方书面确认后方可实施。</w:t>
      </w:r>
    </w:p>
    <w:p w14:paraId="574B2693">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3.沟通协调</w:t>
      </w:r>
    </w:p>
    <w:p w14:paraId="204E98FD">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3.1与不动产登记机构、税务部门、住建部门等主管机关沟通协调；</w:t>
      </w:r>
    </w:p>
    <w:p w14:paraId="3FDAF257">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3.2与原债权人、法院等相关单位沟通，获取必要的法律文书（如需）；</w:t>
      </w:r>
    </w:p>
    <w:p w14:paraId="35E09221">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3.3协调解决过户过程中出现的各类问题，包括但不限于历史遗留问题、权属争议、政策障碍等；</w:t>
      </w:r>
    </w:p>
    <w:p w14:paraId="553E2AC5">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3.4 必要时协调测绘、评估等中介机构配合完成相关工作。</w:t>
      </w:r>
    </w:p>
    <w:p w14:paraId="6A8CCF0E">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4.资料整理与递交</w:t>
      </w:r>
    </w:p>
    <w:p w14:paraId="5FA781EF">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4.1准备并整理过户所需的全部申请材料，包括但不限于申请书、身份证明、权属来源证明、法院文书、税费凭证等；</w:t>
      </w:r>
    </w:p>
    <w:p w14:paraId="711D77D7">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4.2代为向不动产登记机构递交过户申请；</w:t>
      </w:r>
    </w:p>
    <w:p w14:paraId="70048A70">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4.3跟踪办理进度，及时反馈办理结果，每15日向采购方提交书面进展报告。</w:t>
      </w:r>
    </w:p>
    <w:p w14:paraId="55B06AAE">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5.税务咨询</w:t>
      </w:r>
    </w:p>
    <w:p w14:paraId="5C3F0BD3">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5.1提供过户涉及的税费测算（含增值税及附加、土地增值税、契税、印花税、企业所得税影响等）；</w:t>
      </w:r>
    </w:p>
    <w:p w14:paraId="458D3939">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5.2协助完成税费申报与缴纳，确保申报准确及时。</w:t>
      </w:r>
    </w:p>
    <w:p w14:paraId="3C7AD30A">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6.产权证书办理，协助采购方取得不动产权证书。</w:t>
      </w:r>
    </w:p>
    <w:p w14:paraId="31F6822C">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7.归档与交付</w:t>
      </w:r>
    </w:p>
    <w:p w14:paraId="300B3C17">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7.1项目完成后，向采购方移交全部原始资料、权属证书及项目档案；</w:t>
      </w:r>
    </w:p>
    <w:p w14:paraId="65549822">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7.2提供完整的项目总结报告。</w:t>
      </w:r>
    </w:p>
    <w:p w14:paraId="15E918FE">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8.其他服务</w:t>
      </w:r>
    </w:p>
    <w:p w14:paraId="0F466847">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8.1过户过程中涉及的法律咨询与风险提示；</w:t>
      </w:r>
    </w:p>
    <w:p w14:paraId="5ED715E0">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8.2采购方要求的其他与资产过户相关的事项。</w:t>
      </w:r>
    </w:p>
    <w:p w14:paraId="0CCE3166">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关键交付成果：协助采购人取得税务机关认可的、最终的土地增值税等税款的缴款通知书/完税凭证。</w:t>
      </w:r>
    </w:p>
    <w:p w14:paraId="474D1630">
      <w:pPr>
        <w:keepNext w:val="0"/>
        <w:keepLines w:val="0"/>
        <w:pageBreakBefore w:val="0"/>
        <w:widowControl/>
        <w:kinsoku/>
        <w:wordWrap w:val="0"/>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 xml:space="preserve">    就本事项提供必要的税务咨询与支持。</w:t>
      </w:r>
    </w:p>
    <w:p w14:paraId="412B9BAE">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三、服务团队要求</w:t>
      </w:r>
    </w:p>
    <w:p w14:paraId="12BD3607">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需指派固定的、经验丰富的项目团队，项目负责人应具备5年以上抵债资产过户项目从业经验，至少主导过3个以上复杂过户项目案例。团队成员（不包含项目负责人）不少于4人，且具有3年以上从业经验，应熟悉本地税务政策与实践，特别是房地产处置、土地增值税清算、办理不动产过户手续相关经验。</w:t>
      </w:r>
    </w:p>
    <w:p w14:paraId="4E2C2D27">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四、服务期限与进度</w:t>
      </w:r>
    </w:p>
    <w:p w14:paraId="06D05157">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合同签订后立即启动，并在签订后90个工作日内完成全部过户手续（因采购方原因或不可抗力除外）。整体服务进度需配合法院、税务局及过户流程的时间要求。</w:t>
      </w:r>
    </w:p>
    <w:p w14:paraId="4C87B9FE">
      <w:pPr>
        <w:keepNext w:val="0"/>
        <w:keepLines w:val="0"/>
        <w:pageBreakBefore w:val="0"/>
        <w:widowControl/>
        <w:kinsoku/>
        <w:wordWrap w:val="0"/>
        <w:overflowPunct/>
        <w:topLinePunct w:val="0"/>
        <w:autoSpaceDE/>
        <w:autoSpaceDN/>
        <w:bidi w:val="0"/>
        <w:adjustRightInd/>
        <w:snapToGrid/>
        <w:spacing w:line="576" w:lineRule="exact"/>
        <w:ind w:firstLine="1920" w:firstLineChars="600"/>
        <w:textAlignment w:val="auto"/>
        <w:rPr>
          <w:rFonts w:hint="eastAsia"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lang w:val="en-US" w:eastAsia="zh-CN"/>
        </w:rPr>
        <w:t>第三章 评审办法（综合评分法）</w:t>
      </w:r>
    </w:p>
    <w:p w14:paraId="1AB44C2E">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评审因素与分值分配：</w:t>
      </w:r>
    </w:p>
    <w:p w14:paraId="78262E5D">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服务方案（30分）：对项目理解是否深入（5分）；筹划思路的合法性、合规性、创新性与可行性（10分）；具体实施步骤、工作计划与时间安排的合理性（10分）；风险识别与应对措施（5分）。</w:t>
      </w:r>
    </w:p>
    <w:p w14:paraId="15880AAB">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服务团队与本地资源（20分）：拟派项目负责人及核心成员的资质、经验（10分）；类似项目成功案例、在本地化服务团队、资源及与过户相关管理机构的沟通协调能力证明（10分）。</w:t>
      </w:r>
    </w:p>
    <w:p w14:paraId="09EEDDE9">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类似项目业绩（15分）：提供近三年内完成的，特别是为大型国有企业、金融机构提供的复杂资产处置、房地产项目过户成功案例合同或证明。每提供一个有效案例得4分，最高15分。</w:t>
      </w:r>
    </w:p>
    <w:p w14:paraId="3E2E99CF">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报价（25分）：以满足服务需求为前提，评审其报价构成的合理性，以及总费用的经济性。采用基准价法或性价比法计算得分，鼓励合理报价而非最低价。（注：价格分权重根据《办法》精神应适度，重点考察服务能力）。</w:t>
      </w:r>
    </w:p>
    <w:p w14:paraId="6C9BAB4C">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服务质量与保证措施（10分）：承诺若不能按时完成本项目则对采购方已支付或预付（如有）费用进行全额退还得5分。承诺完成本项目的期限少于90个工作日得5分。</w:t>
      </w:r>
    </w:p>
    <w:p w14:paraId="20076564">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p>
    <w:p w14:paraId="63219E62">
      <w:pPr>
        <w:keepNext w:val="0"/>
        <w:keepLines w:val="0"/>
        <w:pageBreakBefore w:val="0"/>
        <w:widowControl/>
        <w:kinsoku/>
        <w:wordWrap w:val="0"/>
        <w:overflowPunct/>
        <w:topLinePunct w:val="0"/>
        <w:autoSpaceDE/>
        <w:autoSpaceDN/>
        <w:bidi w:val="0"/>
        <w:adjustRightInd/>
        <w:snapToGrid/>
        <w:spacing w:line="576" w:lineRule="exact"/>
        <w:ind w:firstLine="1920" w:firstLineChars="600"/>
        <w:textAlignment w:val="auto"/>
        <w:rPr>
          <w:rFonts w:hint="eastAsia"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lang w:val="en-US" w:eastAsia="zh-CN"/>
        </w:rPr>
        <w:t>第四章 响应文件格式（目录）</w:t>
      </w:r>
    </w:p>
    <w:p w14:paraId="7A3318ED">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一、谈判函</w:t>
      </w:r>
    </w:p>
    <w:p w14:paraId="44EFDFB9">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二、法定代表人身份证明书</w:t>
      </w:r>
    </w:p>
    <w:p w14:paraId="36938758">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三、法定代表人授权委托书</w:t>
      </w:r>
    </w:p>
    <w:p w14:paraId="7E29BA57">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四、供应商资格声明及相关证明文件</w:t>
      </w:r>
    </w:p>
    <w:p w14:paraId="027EF7DE">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五、“无重大违法记录”承诺函</w:t>
      </w:r>
    </w:p>
    <w:p w14:paraId="71858758">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六、信用信息查询截图</w:t>
      </w:r>
    </w:p>
    <w:p w14:paraId="199BF86A">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七、供应商基本情况表</w:t>
      </w:r>
    </w:p>
    <w:p w14:paraId="31C66EDD">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八、拟派服务团队介绍表及相关证明材料</w:t>
      </w:r>
    </w:p>
    <w:p w14:paraId="2279A9FF">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九、本地化资源与服务能力说明</w:t>
      </w:r>
    </w:p>
    <w:p w14:paraId="16EDF546">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十、类似项目业绩一览表及证明材料</w:t>
      </w:r>
    </w:p>
    <w:p w14:paraId="3C29EDB3">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十一、服务方案（含详细工作计划）</w:t>
      </w:r>
    </w:p>
    <w:p w14:paraId="67906C19">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十二、服务承诺</w:t>
      </w:r>
    </w:p>
    <w:p w14:paraId="3EEEE965">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十三、报价文件</w:t>
      </w:r>
    </w:p>
    <w:p w14:paraId="7D24FBE8">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分项报价明细与服务费计算说明</w:t>
      </w:r>
    </w:p>
    <w:p w14:paraId="5A2B651E">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对付款方式的建议方案</w:t>
      </w:r>
    </w:p>
    <w:p w14:paraId="262E16F3">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十四、其他供应商认为需要提供的资料</w:t>
      </w:r>
    </w:p>
    <w:p w14:paraId="24E52E50">
      <w:pPr>
        <w:keepNext w:val="0"/>
        <w:keepLines w:val="0"/>
        <w:pageBreakBefore w:val="0"/>
        <w:widowControl/>
        <w:kinsoku/>
        <w:wordWrap w:val="0"/>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spacing w:val="0"/>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DE"/>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033FBD"/>
    <w:rsid w:val="0F5A2752"/>
    <w:rsid w:val="264E6AD6"/>
    <w:rsid w:val="2BD7B353"/>
    <w:rsid w:val="30BA5CD4"/>
    <w:rsid w:val="49596850"/>
    <w:rsid w:val="5FEE5134"/>
    <w:rsid w:val="71C4431B"/>
    <w:rsid w:val="72F40A1E"/>
    <w:rsid w:val="7FE33DF5"/>
    <w:rsid w:val="E5DF44A1"/>
    <w:rsid w:val="F7FF7547"/>
    <w:rsid w:val="F8BFE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TML Code"/>
    <w:basedOn w:val="4"/>
    <w:qFormat/>
    <w:uiPriority w:val="0"/>
    <w:rPr>
      <w:rFonts w:ascii="Courier New" w:hAnsi="Courier New"/>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3510</Words>
  <Characters>3706</Characters>
  <Lines>0</Lines>
  <Paragraphs>0</Paragraphs>
  <TotalTime>29</TotalTime>
  <ScaleCrop>false</ScaleCrop>
  <LinksUpToDate>false</LinksUpToDate>
  <CharactersWithSpaces>3716</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2026-04-21T10:51:00Z</dcterms:created>
  <dc:creator>lenovo</dc:creator>
  <cp:lastModifiedBy>user</cp:lastModifiedBy>
  <dcterms:modified xsi:type="dcterms:W3CDTF">2026-08-10T12:00:55Z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KSOTemplateDocerSaveRecord">
    <vt:lpwstr>eyJoZGlkIjoiOWFmNmNiZWNkZDU0ZDMxYzk0MGRiYjNiNzNlNzBkMTEiLCJ1c2VySWQiOiIyOTIwMTQ3ODIifQ==</vt:lpwstr>
  </property>
  <property fmtid="{D5CDD505-2E9C-101B-9397-08002B2CF9AE}" pid="4" name="ICV">
    <vt:lpwstr>421A39AECC6C4A52968935881AFC1A99_12</vt:lpwstr>
  </property>
</Properties>
</file>